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247" w:rsidRPr="00DC29D8" w:rsidRDefault="00F87247" w:rsidP="00F87247">
      <w:pPr>
        <w:jc w:val="center"/>
        <w:rPr>
          <w:rFonts w:asciiTheme="minorHAnsi" w:hAnsiTheme="minorHAnsi" w:cstheme="minorHAnsi"/>
          <w:b/>
          <w:sz w:val="44"/>
          <w:szCs w:val="44"/>
        </w:rPr>
      </w:pPr>
      <w:r w:rsidRPr="00DC29D8">
        <w:rPr>
          <w:rFonts w:asciiTheme="minorHAnsi" w:hAnsiTheme="minorHAnsi" w:cstheme="minorHAnsi"/>
          <w:b/>
          <w:sz w:val="44"/>
          <w:szCs w:val="44"/>
        </w:rPr>
        <w:t>ALLIANCE AFRICA GENERAL INSURANCE LIMITED.</w:t>
      </w:r>
    </w:p>
    <w:p w:rsidR="00F87247" w:rsidRPr="00F87247" w:rsidRDefault="00F87247" w:rsidP="00F87247">
      <w:pPr>
        <w:jc w:val="center"/>
      </w:pPr>
      <w:r w:rsidRPr="00DC29D8">
        <w:rPr>
          <w:rFonts w:asciiTheme="minorHAnsi" w:hAnsiTheme="minorHAnsi" w:cstheme="minorHAnsi"/>
          <w:b/>
          <w:sz w:val="44"/>
          <w:szCs w:val="44"/>
        </w:rPr>
        <w:t>KEY FACT DOCUMENTS</w:t>
      </w:r>
    </w:p>
    <w:p w:rsidR="00F87247" w:rsidRPr="00225C51" w:rsidRDefault="00F87247" w:rsidP="00F87247">
      <w:pPr>
        <w:rPr>
          <w:b/>
          <w:color w:val="4F81BD" w:themeColor="accent1"/>
          <w:sz w:val="36"/>
          <w:szCs w:val="36"/>
        </w:rPr>
      </w:pPr>
      <w:r w:rsidRPr="008E081C">
        <w:rPr>
          <w:b/>
          <w:color w:val="4F81BD" w:themeColor="accent1"/>
          <w:sz w:val="36"/>
          <w:szCs w:val="36"/>
        </w:rPr>
        <w:t>Marine insurance.</w:t>
      </w:r>
    </w:p>
    <w:p w:rsidR="00F87247" w:rsidRPr="008E081C" w:rsidRDefault="00F87247" w:rsidP="00F87247">
      <w:r w:rsidRPr="008E081C">
        <w:t>Insure your shipment from risks</w:t>
      </w:r>
    </w:p>
    <w:p w:rsidR="00F87247" w:rsidRPr="008E081C" w:rsidRDefault="00F87247" w:rsidP="00F87247">
      <w:pPr>
        <w:rPr>
          <w:b/>
          <w:u w:val="single"/>
        </w:rPr>
      </w:pPr>
      <w:r w:rsidRPr="008E081C">
        <w:rPr>
          <w:b/>
          <w:u w:val="single"/>
        </w:rPr>
        <w:t>Preamble</w:t>
      </w:r>
    </w:p>
    <w:p w:rsidR="00F87247" w:rsidRPr="008E081C" w:rsidRDefault="00F87247" w:rsidP="00F87247">
      <w:pPr>
        <w:spacing w:before="100" w:beforeAutospacing="1" w:after="100" w:afterAutospacing="1"/>
      </w:pPr>
      <w:r w:rsidRPr="008E081C">
        <w:t>The purpose of hull insurance is to cover ship owners various insurable interests and</w:t>
      </w:r>
    </w:p>
    <w:p w:rsidR="00F87247" w:rsidRPr="008E081C" w:rsidRDefault="00F87247" w:rsidP="00F87247">
      <w:pPr>
        <w:numPr>
          <w:ilvl w:val="0"/>
          <w:numId w:val="2"/>
        </w:numPr>
        <w:spacing w:before="100" w:beforeAutospacing="1" w:after="100" w:afterAutospacing="1"/>
      </w:pPr>
      <w:r w:rsidRPr="008E081C">
        <w:t>Hull &amp; Machinery Insurance</w:t>
      </w:r>
    </w:p>
    <w:p w:rsidR="00F87247" w:rsidRPr="008E081C" w:rsidRDefault="00F87247" w:rsidP="00F87247">
      <w:pPr>
        <w:numPr>
          <w:ilvl w:val="0"/>
          <w:numId w:val="2"/>
        </w:numPr>
        <w:spacing w:before="100" w:beforeAutospacing="1" w:after="100" w:afterAutospacing="1"/>
      </w:pPr>
      <w:r w:rsidRPr="008E081C">
        <w:t>Insurance of freight</w:t>
      </w:r>
    </w:p>
    <w:p w:rsidR="00F87247" w:rsidRPr="008E081C" w:rsidRDefault="00F87247" w:rsidP="00F87247">
      <w:pPr>
        <w:numPr>
          <w:ilvl w:val="0"/>
          <w:numId w:val="2"/>
        </w:numPr>
        <w:spacing w:before="100" w:beforeAutospacing="1" w:after="100" w:afterAutospacing="1"/>
      </w:pPr>
      <w:r w:rsidRPr="008E081C">
        <w:t>Builders Risk policy</w:t>
      </w:r>
    </w:p>
    <w:p w:rsidR="00F87247" w:rsidRPr="008E081C" w:rsidRDefault="00F87247" w:rsidP="00F87247">
      <w:pPr>
        <w:numPr>
          <w:ilvl w:val="0"/>
          <w:numId w:val="2"/>
        </w:numPr>
        <w:spacing w:before="100" w:beforeAutospacing="1" w:after="100" w:afterAutospacing="1"/>
      </w:pPr>
      <w:r w:rsidRPr="008E081C">
        <w:t>Loss of hire insurance</w:t>
      </w:r>
    </w:p>
    <w:p w:rsidR="00F87247" w:rsidRPr="008E081C" w:rsidRDefault="00F87247" w:rsidP="00F87247">
      <w:pPr>
        <w:numPr>
          <w:ilvl w:val="0"/>
          <w:numId w:val="2"/>
        </w:numPr>
        <w:spacing w:before="100" w:beforeAutospacing="1" w:after="100" w:afterAutospacing="1"/>
      </w:pPr>
      <w:r w:rsidRPr="008E081C">
        <w:t>Loss of profit Insurance</w:t>
      </w:r>
    </w:p>
    <w:p w:rsidR="00F87247" w:rsidRPr="008E081C" w:rsidRDefault="00F87247" w:rsidP="00F87247">
      <w:pPr>
        <w:spacing w:before="100" w:beforeAutospacing="1" w:after="100" w:afterAutospacing="1"/>
      </w:pPr>
      <w:r w:rsidRPr="008E081C">
        <w:t>The policy covers all risks of physical loss or damage to the vessel (Hull &amp;Machinery) caused by any fortuitous cause including latent defect or by the negligent or malicious act of any person, or by theft, or by the act of any governmental authority done for the purpose of preventing or mitigating pollution or risk of pollution resulting from loss or damage to the vessel. The vessel may include passenger and cargo ships, fishing boats, yachts and so on.</w:t>
      </w:r>
    </w:p>
    <w:p w:rsidR="00F87247" w:rsidRPr="008E081C" w:rsidRDefault="00F87247" w:rsidP="00F87247">
      <w:pPr>
        <w:spacing w:before="100" w:beforeAutospacing="1" w:after="100" w:afterAutospacing="1"/>
      </w:pPr>
      <w:r w:rsidRPr="008E081C">
        <w:rPr>
          <w:b/>
          <w:bCs/>
        </w:rPr>
        <w:t>Benefits: </w:t>
      </w:r>
    </w:p>
    <w:p w:rsidR="00F87247" w:rsidRPr="008E081C" w:rsidRDefault="00F87247" w:rsidP="00F87247">
      <w:pPr>
        <w:spacing w:before="100" w:beforeAutospacing="1" w:after="100" w:afterAutospacing="1"/>
      </w:pPr>
      <w:r w:rsidRPr="008E081C">
        <w:rPr>
          <w:b/>
          <w:bCs/>
        </w:rPr>
        <w:t>Sum Insured:</w:t>
      </w:r>
      <w:r w:rsidRPr="008E081C">
        <w:br/>
        <w:t>The vessel is insured for its market value.</w:t>
      </w:r>
    </w:p>
    <w:p w:rsidR="00F87247" w:rsidRPr="008E081C" w:rsidRDefault="00F87247" w:rsidP="00F87247">
      <w:pPr>
        <w:spacing w:before="100" w:beforeAutospacing="1" w:after="100" w:afterAutospacing="1"/>
      </w:pPr>
      <w:r w:rsidRPr="008E081C">
        <w:rPr>
          <w:b/>
          <w:bCs/>
        </w:rPr>
        <w:t>Premium:</w:t>
      </w:r>
      <w:r w:rsidRPr="008E081C">
        <w:br/>
        <w:t>The premium depends on factors like a year of built, the purpose of use, territorial limits of trading and so on.</w:t>
      </w:r>
    </w:p>
    <w:p w:rsidR="00F87247" w:rsidRPr="00225C51" w:rsidRDefault="00F87247" w:rsidP="00F87247">
      <w:pPr>
        <w:rPr>
          <w:b/>
          <w:color w:val="17365D" w:themeColor="text2" w:themeShade="BF"/>
          <w:u w:val="single"/>
        </w:rPr>
      </w:pPr>
      <w:r w:rsidRPr="00225C51">
        <w:rPr>
          <w:b/>
          <w:color w:val="17365D" w:themeColor="text2" w:themeShade="BF"/>
          <w:u w:val="single"/>
        </w:rPr>
        <w:t>Marine hull insurance</w:t>
      </w:r>
    </w:p>
    <w:tbl>
      <w:tblPr>
        <w:tblStyle w:val="TableGrid"/>
        <w:tblW w:w="10278" w:type="dxa"/>
        <w:tblLook w:val="04A0"/>
      </w:tblPr>
      <w:tblGrid>
        <w:gridCol w:w="2838"/>
        <w:gridCol w:w="3570"/>
        <w:gridCol w:w="3870"/>
      </w:tblGrid>
      <w:tr w:rsidR="00F87247" w:rsidRPr="008F1078" w:rsidTr="00011840">
        <w:tc>
          <w:tcPr>
            <w:tcW w:w="2838" w:type="dxa"/>
          </w:tcPr>
          <w:p w:rsidR="00F87247" w:rsidRPr="008F1078" w:rsidRDefault="00F87247" w:rsidP="00011840">
            <w:pPr>
              <w:jc w:val="center"/>
              <w:rPr>
                <w:b/>
                <w:sz w:val="22"/>
                <w:szCs w:val="22"/>
              </w:rPr>
            </w:pPr>
            <w:r w:rsidRPr="008F1078">
              <w:rPr>
                <w:rStyle w:val="codhd"/>
                <w:b/>
                <w:sz w:val="22"/>
                <w:szCs w:val="22"/>
              </w:rPr>
              <w:t>What’s covered</w:t>
            </w:r>
          </w:p>
        </w:tc>
        <w:tc>
          <w:tcPr>
            <w:tcW w:w="3570" w:type="dxa"/>
          </w:tcPr>
          <w:p w:rsidR="00F87247" w:rsidRPr="008F1078" w:rsidRDefault="00F87247" w:rsidP="00011840">
            <w:pPr>
              <w:jc w:val="center"/>
              <w:rPr>
                <w:b/>
                <w:sz w:val="22"/>
                <w:szCs w:val="22"/>
              </w:rPr>
            </w:pPr>
            <w:r w:rsidRPr="008F1078">
              <w:rPr>
                <w:rStyle w:val="codhd"/>
                <w:b/>
                <w:sz w:val="22"/>
                <w:szCs w:val="22"/>
              </w:rPr>
              <w:t>What’s not covered</w:t>
            </w:r>
          </w:p>
        </w:tc>
        <w:tc>
          <w:tcPr>
            <w:tcW w:w="3870" w:type="dxa"/>
          </w:tcPr>
          <w:p w:rsidR="00F87247" w:rsidRPr="008F1078" w:rsidRDefault="00F87247" w:rsidP="00011840">
            <w:pPr>
              <w:jc w:val="center"/>
              <w:rPr>
                <w:b/>
                <w:sz w:val="22"/>
                <w:szCs w:val="22"/>
              </w:rPr>
            </w:pPr>
            <w:r w:rsidRPr="008F1078">
              <w:rPr>
                <w:rStyle w:val="codhd"/>
                <w:b/>
                <w:sz w:val="22"/>
                <w:szCs w:val="22"/>
              </w:rPr>
              <w:t>What’s optional</w:t>
            </w:r>
          </w:p>
        </w:tc>
      </w:tr>
      <w:tr w:rsidR="00F87247" w:rsidRPr="008E081C" w:rsidTr="00011840">
        <w:tc>
          <w:tcPr>
            <w:tcW w:w="2838" w:type="dxa"/>
          </w:tcPr>
          <w:p w:rsidR="00F87247" w:rsidRPr="008F1078" w:rsidRDefault="00F87247" w:rsidP="00F87247">
            <w:pPr>
              <w:pStyle w:val="ListParagraph"/>
              <w:numPr>
                <w:ilvl w:val="0"/>
                <w:numId w:val="3"/>
              </w:numPr>
              <w:rPr>
                <w:sz w:val="22"/>
                <w:szCs w:val="22"/>
              </w:rPr>
            </w:pPr>
            <w:r w:rsidRPr="008F1078">
              <w:rPr>
                <w:sz w:val="22"/>
                <w:szCs w:val="22"/>
              </w:rPr>
              <w:t xml:space="preserve">Fire &amp; explosion </w:t>
            </w:r>
          </w:p>
          <w:p w:rsidR="00F87247" w:rsidRPr="008F1078" w:rsidRDefault="00F87247" w:rsidP="00F87247">
            <w:pPr>
              <w:pStyle w:val="ListParagraph"/>
              <w:numPr>
                <w:ilvl w:val="0"/>
                <w:numId w:val="3"/>
              </w:numPr>
              <w:rPr>
                <w:sz w:val="22"/>
                <w:szCs w:val="22"/>
              </w:rPr>
            </w:pPr>
            <w:r w:rsidRPr="008F1078">
              <w:rPr>
                <w:sz w:val="22"/>
                <w:szCs w:val="22"/>
              </w:rPr>
              <w:t xml:space="preserve">Stranding or sinking of vessels, loss of hire </w:t>
            </w:r>
          </w:p>
          <w:p w:rsidR="00F87247" w:rsidRPr="008F1078" w:rsidRDefault="00F87247" w:rsidP="00F87247">
            <w:pPr>
              <w:pStyle w:val="ListParagraph"/>
              <w:numPr>
                <w:ilvl w:val="0"/>
                <w:numId w:val="3"/>
              </w:numPr>
              <w:rPr>
                <w:sz w:val="22"/>
                <w:szCs w:val="22"/>
              </w:rPr>
            </w:pPr>
            <w:r w:rsidRPr="008F1078">
              <w:rPr>
                <w:sz w:val="22"/>
                <w:szCs w:val="22"/>
              </w:rPr>
              <w:t xml:space="preserve">Collision, jettisons &amp; piracy </w:t>
            </w:r>
          </w:p>
          <w:p w:rsidR="00F87247" w:rsidRPr="008F1078" w:rsidRDefault="00F87247" w:rsidP="00F87247">
            <w:pPr>
              <w:pStyle w:val="ListParagraph"/>
              <w:numPr>
                <w:ilvl w:val="0"/>
                <w:numId w:val="3"/>
              </w:numPr>
              <w:rPr>
                <w:sz w:val="22"/>
                <w:szCs w:val="22"/>
              </w:rPr>
            </w:pPr>
            <w:r w:rsidRPr="008F1078">
              <w:rPr>
                <w:sz w:val="22"/>
                <w:szCs w:val="22"/>
              </w:rPr>
              <w:t>Overturning or derailment of inland vessels</w:t>
            </w:r>
          </w:p>
        </w:tc>
        <w:tc>
          <w:tcPr>
            <w:tcW w:w="3570" w:type="dxa"/>
          </w:tcPr>
          <w:p w:rsidR="00F87247" w:rsidRPr="008E081C" w:rsidRDefault="00F87247" w:rsidP="00011840">
            <w:pPr>
              <w:rPr>
                <w:sz w:val="22"/>
                <w:szCs w:val="22"/>
              </w:rPr>
            </w:pPr>
            <w:r w:rsidRPr="008E081C">
              <w:rPr>
                <w:sz w:val="22"/>
                <w:szCs w:val="22"/>
              </w:rPr>
              <w:t xml:space="preserve">Unfortunately, we can’t cover everything – make sure you’re happy with what’s not covered, including: </w:t>
            </w:r>
          </w:p>
          <w:p w:rsidR="00F87247" w:rsidRPr="008F1078" w:rsidRDefault="00F87247" w:rsidP="00F87247">
            <w:pPr>
              <w:pStyle w:val="ListParagraph"/>
              <w:numPr>
                <w:ilvl w:val="0"/>
                <w:numId w:val="4"/>
              </w:numPr>
              <w:rPr>
                <w:sz w:val="22"/>
                <w:szCs w:val="22"/>
              </w:rPr>
            </w:pPr>
            <w:r w:rsidRPr="008F1078">
              <w:rPr>
                <w:sz w:val="22"/>
                <w:szCs w:val="22"/>
              </w:rPr>
              <w:t xml:space="preserve">Willful or deliberate damage or destruction of vessels </w:t>
            </w:r>
          </w:p>
          <w:p w:rsidR="00F87247" w:rsidRPr="008F1078" w:rsidRDefault="00F87247" w:rsidP="00F87247">
            <w:pPr>
              <w:pStyle w:val="ListParagraph"/>
              <w:numPr>
                <w:ilvl w:val="0"/>
                <w:numId w:val="4"/>
              </w:numPr>
              <w:rPr>
                <w:sz w:val="22"/>
                <w:szCs w:val="22"/>
              </w:rPr>
            </w:pPr>
            <w:r w:rsidRPr="008F1078">
              <w:rPr>
                <w:sz w:val="22"/>
                <w:szCs w:val="22"/>
              </w:rPr>
              <w:t xml:space="preserve">Destruction of vessel by a weapon of war- atomic bomb, nuclear fission etc. </w:t>
            </w:r>
          </w:p>
          <w:p w:rsidR="00F87247" w:rsidRPr="008F1078" w:rsidRDefault="00F87247" w:rsidP="00F87247">
            <w:pPr>
              <w:pStyle w:val="ListParagraph"/>
              <w:numPr>
                <w:ilvl w:val="0"/>
                <w:numId w:val="4"/>
              </w:numPr>
              <w:rPr>
                <w:sz w:val="22"/>
                <w:szCs w:val="22"/>
              </w:rPr>
            </w:pPr>
            <w:r w:rsidRPr="008F1078">
              <w:rPr>
                <w:sz w:val="22"/>
                <w:szCs w:val="22"/>
              </w:rPr>
              <w:t xml:space="preserve">Radioactive contamination, exposure to chemicals &amp; bio-chemicals, electromagnetic fields. </w:t>
            </w:r>
          </w:p>
          <w:p w:rsidR="00F87247" w:rsidRPr="008F1078" w:rsidRDefault="00F87247" w:rsidP="00F87247">
            <w:pPr>
              <w:pStyle w:val="ListParagraph"/>
              <w:numPr>
                <w:ilvl w:val="0"/>
                <w:numId w:val="4"/>
              </w:numPr>
              <w:rPr>
                <w:sz w:val="22"/>
                <w:szCs w:val="22"/>
              </w:rPr>
            </w:pPr>
            <w:r w:rsidRPr="008F1078">
              <w:rPr>
                <w:sz w:val="22"/>
                <w:szCs w:val="22"/>
              </w:rPr>
              <w:t xml:space="preserve">War, strikes, civil war or act of </w:t>
            </w:r>
            <w:r w:rsidRPr="008F1078">
              <w:rPr>
                <w:sz w:val="22"/>
                <w:szCs w:val="22"/>
              </w:rPr>
              <w:lastRenderedPageBreak/>
              <w:t>terrorism</w:t>
            </w:r>
          </w:p>
        </w:tc>
        <w:tc>
          <w:tcPr>
            <w:tcW w:w="3870" w:type="dxa"/>
          </w:tcPr>
          <w:p w:rsidR="00F87247" w:rsidRPr="008E081C" w:rsidRDefault="00F87247" w:rsidP="00011840">
            <w:pPr>
              <w:rPr>
                <w:sz w:val="22"/>
                <w:szCs w:val="22"/>
              </w:rPr>
            </w:pPr>
            <w:r w:rsidRPr="008E081C">
              <w:rPr>
                <w:sz w:val="22"/>
                <w:szCs w:val="22"/>
              </w:rPr>
              <w:lastRenderedPageBreak/>
              <w:t xml:space="preserve">Choose optional add-ons at an additional cost to create cover that suits you. </w:t>
            </w:r>
          </w:p>
          <w:p w:rsidR="00F87247" w:rsidRPr="008F1078" w:rsidRDefault="00F87247" w:rsidP="00F87247">
            <w:pPr>
              <w:pStyle w:val="ListParagraph"/>
              <w:numPr>
                <w:ilvl w:val="0"/>
                <w:numId w:val="5"/>
              </w:numPr>
              <w:rPr>
                <w:sz w:val="22"/>
                <w:szCs w:val="22"/>
              </w:rPr>
            </w:pPr>
            <w:r w:rsidRPr="008F1078">
              <w:rPr>
                <w:sz w:val="22"/>
                <w:szCs w:val="22"/>
              </w:rPr>
              <w:t>Political Violence and Terrorism: Cover against political violence and terrorism</w:t>
            </w:r>
          </w:p>
        </w:tc>
      </w:tr>
    </w:tbl>
    <w:p w:rsidR="00F87247" w:rsidRPr="008E081C" w:rsidRDefault="00F87247" w:rsidP="00F87247"/>
    <w:p w:rsidR="00F87247" w:rsidRPr="008E081C" w:rsidRDefault="00F87247" w:rsidP="00F87247">
      <w:r w:rsidRPr="008E081C">
        <w:t>Marine cargo insurance</w:t>
      </w:r>
    </w:p>
    <w:tbl>
      <w:tblPr>
        <w:tblStyle w:val="TableGrid"/>
        <w:tblW w:w="10278" w:type="dxa"/>
        <w:tblLook w:val="04A0"/>
      </w:tblPr>
      <w:tblGrid>
        <w:gridCol w:w="2838"/>
        <w:gridCol w:w="3570"/>
        <w:gridCol w:w="3870"/>
      </w:tblGrid>
      <w:tr w:rsidR="00F87247" w:rsidRPr="008F1078" w:rsidTr="00011840">
        <w:tc>
          <w:tcPr>
            <w:tcW w:w="2838" w:type="dxa"/>
          </w:tcPr>
          <w:p w:rsidR="00F87247" w:rsidRPr="008F1078" w:rsidRDefault="00F87247" w:rsidP="00011840">
            <w:pPr>
              <w:jc w:val="center"/>
              <w:rPr>
                <w:b/>
                <w:sz w:val="22"/>
                <w:szCs w:val="22"/>
              </w:rPr>
            </w:pPr>
            <w:r w:rsidRPr="008F1078">
              <w:rPr>
                <w:rStyle w:val="codhd"/>
                <w:b/>
                <w:sz w:val="22"/>
                <w:szCs w:val="22"/>
              </w:rPr>
              <w:t>What’s covered</w:t>
            </w:r>
          </w:p>
        </w:tc>
        <w:tc>
          <w:tcPr>
            <w:tcW w:w="3570" w:type="dxa"/>
          </w:tcPr>
          <w:p w:rsidR="00F87247" w:rsidRPr="008F1078" w:rsidRDefault="00F87247" w:rsidP="00011840">
            <w:pPr>
              <w:jc w:val="center"/>
              <w:rPr>
                <w:b/>
                <w:sz w:val="22"/>
                <w:szCs w:val="22"/>
              </w:rPr>
            </w:pPr>
            <w:r w:rsidRPr="008F1078">
              <w:rPr>
                <w:rStyle w:val="codhd"/>
                <w:b/>
                <w:sz w:val="22"/>
                <w:szCs w:val="22"/>
              </w:rPr>
              <w:t>What’s not covered</w:t>
            </w:r>
          </w:p>
        </w:tc>
        <w:tc>
          <w:tcPr>
            <w:tcW w:w="3870" w:type="dxa"/>
          </w:tcPr>
          <w:p w:rsidR="00F87247" w:rsidRPr="008F1078" w:rsidRDefault="00F87247" w:rsidP="00011840">
            <w:pPr>
              <w:jc w:val="center"/>
              <w:rPr>
                <w:b/>
                <w:sz w:val="22"/>
                <w:szCs w:val="22"/>
              </w:rPr>
            </w:pPr>
            <w:r w:rsidRPr="008F1078">
              <w:rPr>
                <w:rStyle w:val="codhd"/>
                <w:b/>
                <w:sz w:val="22"/>
                <w:szCs w:val="22"/>
              </w:rPr>
              <w:t>What’s optional</w:t>
            </w:r>
          </w:p>
        </w:tc>
      </w:tr>
      <w:tr w:rsidR="00F87247" w:rsidRPr="008E081C" w:rsidTr="00011840">
        <w:tc>
          <w:tcPr>
            <w:tcW w:w="2838" w:type="dxa"/>
          </w:tcPr>
          <w:p w:rsidR="00F87247" w:rsidRPr="008E081C" w:rsidRDefault="00F87247" w:rsidP="00011840">
            <w:pPr>
              <w:spacing w:before="100" w:beforeAutospacing="1" w:after="100" w:afterAutospacing="1"/>
              <w:rPr>
                <w:sz w:val="22"/>
                <w:szCs w:val="22"/>
              </w:rPr>
            </w:pPr>
            <w:r w:rsidRPr="008E081C">
              <w:rPr>
                <w:sz w:val="22"/>
                <w:szCs w:val="22"/>
              </w:rPr>
              <w:t>The perils covered and excluded depend on which type of coverage you choose. There are three basic forms of coverage known as Institute Clauses A, B and C.</w:t>
            </w:r>
          </w:p>
          <w:p w:rsidR="00F87247" w:rsidRPr="008E081C" w:rsidRDefault="00F87247" w:rsidP="00011840">
            <w:pPr>
              <w:spacing w:before="100" w:beforeAutospacing="1" w:after="100" w:afterAutospacing="1"/>
              <w:rPr>
                <w:sz w:val="22"/>
                <w:szCs w:val="22"/>
              </w:rPr>
            </w:pPr>
            <w:r w:rsidRPr="008E081C">
              <w:rPr>
                <w:sz w:val="22"/>
                <w:szCs w:val="22"/>
              </w:rPr>
              <w:t xml:space="preserve">Marine Insurance offered by </w:t>
            </w:r>
            <w:r w:rsidR="000F3A6A">
              <w:rPr>
                <w:sz w:val="22"/>
                <w:szCs w:val="22"/>
              </w:rPr>
              <w:t>Alliance Africa General Insurance Limited</w:t>
            </w:r>
            <w:r w:rsidRPr="008E081C">
              <w:rPr>
                <w:sz w:val="22"/>
                <w:szCs w:val="22"/>
              </w:rPr>
              <w:t xml:space="preserve"> Insurance is issued based on an </w:t>
            </w:r>
            <w:r w:rsidRPr="008E081C">
              <w:rPr>
                <w:b/>
                <w:bCs/>
                <w:sz w:val="22"/>
                <w:szCs w:val="22"/>
              </w:rPr>
              <w:t>All Risks basis.</w:t>
            </w:r>
          </w:p>
          <w:p w:rsidR="00F87247" w:rsidRPr="008E081C" w:rsidRDefault="00F87247" w:rsidP="00011840">
            <w:pPr>
              <w:spacing w:before="100" w:beforeAutospacing="1" w:after="100" w:afterAutospacing="1"/>
              <w:rPr>
                <w:sz w:val="22"/>
                <w:szCs w:val="22"/>
              </w:rPr>
            </w:pPr>
            <w:r w:rsidRPr="008E081C">
              <w:rPr>
                <w:sz w:val="22"/>
                <w:szCs w:val="22"/>
              </w:rPr>
              <w:t>An All Risk policy offers even broader coverage than a With Average policy. As the name suggests, this policy covers all transportation risks. An All Risk policy will not, however, cover loss of market or loss or damage caused by delay, inherent vice of the goods, war, strikes, riots and civil commotions, unless specifically included.</w:t>
            </w:r>
          </w:p>
          <w:p w:rsidR="00F87247" w:rsidRPr="008E081C" w:rsidRDefault="00F87247" w:rsidP="00011840">
            <w:pPr>
              <w:rPr>
                <w:sz w:val="22"/>
                <w:szCs w:val="22"/>
              </w:rPr>
            </w:pPr>
          </w:p>
        </w:tc>
        <w:tc>
          <w:tcPr>
            <w:tcW w:w="3570" w:type="dxa"/>
          </w:tcPr>
          <w:p w:rsidR="00F87247" w:rsidRPr="008E081C" w:rsidRDefault="00F87247" w:rsidP="00011840">
            <w:pPr>
              <w:rPr>
                <w:sz w:val="22"/>
                <w:szCs w:val="22"/>
              </w:rPr>
            </w:pPr>
            <w:r w:rsidRPr="008E081C">
              <w:rPr>
                <w:sz w:val="22"/>
                <w:szCs w:val="22"/>
              </w:rPr>
              <w:t xml:space="preserve">It is important that the insured is aware of the exclusions applicable to “all risks” cover. The most common are loss, damage or expense: </w:t>
            </w:r>
          </w:p>
          <w:p w:rsidR="00F87247" w:rsidRPr="008F1078" w:rsidRDefault="00F87247" w:rsidP="00F87247">
            <w:pPr>
              <w:pStyle w:val="ListParagraph"/>
              <w:numPr>
                <w:ilvl w:val="0"/>
                <w:numId w:val="5"/>
              </w:numPr>
              <w:rPr>
                <w:sz w:val="22"/>
                <w:szCs w:val="22"/>
              </w:rPr>
            </w:pPr>
            <w:r w:rsidRPr="008F1078">
              <w:rPr>
                <w:sz w:val="22"/>
                <w:szCs w:val="22"/>
              </w:rPr>
              <w:t xml:space="preserve">Attributable to willful misconduct of the insured </w:t>
            </w:r>
          </w:p>
          <w:p w:rsidR="00F87247" w:rsidRPr="008F1078" w:rsidRDefault="00F87247" w:rsidP="00F87247">
            <w:pPr>
              <w:pStyle w:val="ListParagraph"/>
              <w:numPr>
                <w:ilvl w:val="0"/>
                <w:numId w:val="5"/>
              </w:numPr>
              <w:rPr>
                <w:sz w:val="22"/>
                <w:szCs w:val="22"/>
              </w:rPr>
            </w:pPr>
            <w:r w:rsidRPr="008F1078">
              <w:rPr>
                <w:sz w:val="22"/>
                <w:szCs w:val="22"/>
              </w:rPr>
              <w:t xml:space="preserve">Caused by insufficiency or unsuitability of packing or preparation of the cargo </w:t>
            </w:r>
          </w:p>
          <w:p w:rsidR="00F87247" w:rsidRPr="008F1078" w:rsidRDefault="00F87247" w:rsidP="00F87247">
            <w:pPr>
              <w:pStyle w:val="ListParagraph"/>
              <w:numPr>
                <w:ilvl w:val="0"/>
                <w:numId w:val="5"/>
              </w:numPr>
              <w:rPr>
                <w:sz w:val="22"/>
                <w:szCs w:val="22"/>
              </w:rPr>
            </w:pPr>
            <w:r w:rsidRPr="008F1078">
              <w:rPr>
                <w:sz w:val="22"/>
                <w:szCs w:val="22"/>
              </w:rPr>
              <w:t xml:space="preserve">As a result of ordinary leakage and wastage </w:t>
            </w:r>
          </w:p>
          <w:p w:rsidR="00F87247" w:rsidRPr="008F1078" w:rsidRDefault="00F87247" w:rsidP="00F87247">
            <w:pPr>
              <w:pStyle w:val="ListParagraph"/>
              <w:numPr>
                <w:ilvl w:val="0"/>
                <w:numId w:val="5"/>
              </w:numPr>
              <w:rPr>
                <w:sz w:val="22"/>
                <w:szCs w:val="22"/>
              </w:rPr>
            </w:pPr>
            <w:r w:rsidRPr="008F1078">
              <w:rPr>
                <w:sz w:val="22"/>
                <w:szCs w:val="22"/>
              </w:rPr>
              <w:t xml:space="preserve">Arising from the insolvency or financial default of the owners, charterers or operators of the vessel </w:t>
            </w:r>
          </w:p>
          <w:p w:rsidR="00F87247" w:rsidRPr="008F1078" w:rsidRDefault="00F87247" w:rsidP="00F87247">
            <w:pPr>
              <w:pStyle w:val="ListParagraph"/>
              <w:numPr>
                <w:ilvl w:val="0"/>
                <w:numId w:val="5"/>
              </w:numPr>
              <w:rPr>
                <w:sz w:val="22"/>
                <w:szCs w:val="22"/>
              </w:rPr>
            </w:pPr>
            <w:r w:rsidRPr="008F1078">
              <w:rPr>
                <w:sz w:val="22"/>
                <w:szCs w:val="22"/>
              </w:rPr>
              <w:t xml:space="preserve">Caused by inherent vice of the cargo (e.g. the innate tendency of a product to deteriorate over time. For example, fruit will go rotten) </w:t>
            </w:r>
          </w:p>
          <w:p w:rsidR="00F87247" w:rsidRPr="008F1078" w:rsidRDefault="00F87247" w:rsidP="00F87247">
            <w:pPr>
              <w:pStyle w:val="ListParagraph"/>
              <w:numPr>
                <w:ilvl w:val="0"/>
                <w:numId w:val="5"/>
              </w:numPr>
              <w:rPr>
                <w:sz w:val="22"/>
                <w:szCs w:val="22"/>
              </w:rPr>
            </w:pPr>
            <w:r w:rsidRPr="008F1078">
              <w:rPr>
                <w:sz w:val="22"/>
                <w:szCs w:val="22"/>
              </w:rPr>
              <w:t xml:space="preserve">Caused by delay </w:t>
            </w:r>
          </w:p>
          <w:p w:rsidR="00F87247" w:rsidRPr="008F1078" w:rsidRDefault="00F87247" w:rsidP="00F87247">
            <w:pPr>
              <w:pStyle w:val="ListParagraph"/>
              <w:numPr>
                <w:ilvl w:val="0"/>
                <w:numId w:val="5"/>
              </w:numPr>
              <w:rPr>
                <w:sz w:val="22"/>
                <w:szCs w:val="22"/>
              </w:rPr>
            </w:pPr>
            <w:r w:rsidRPr="008F1078">
              <w:rPr>
                <w:sz w:val="22"/>
                <w:szCs w:val="22"/>
              </w:rPr>
              <w:t xml:space="preserve">Resulting from strikes and labour disturbances (covered by strike clause) </w:t>
            </w:r>
          </w:p>
          <w:p w:rsidR="00F87247" w:rsidRPr="008F1078" w:rsidRDefault="00F87247" w:rsidP="000F3A6A">
            <w:pPr>
              <w:pStyle w:val="ListParagraph"/>
              <w:numPr>
                <w:ilvl w:val="0"/>
                <w:numId w:val="5"/>
              </w:numPr>
              <w:rPr>
                <w:sz w:val="22"/>
                <w:szCs w:val="22"/>
              </w:rPr>
            </w:pPr>
            <w:r w:rsidRPr="008F1078">
              <w:rPr>
                <w:sz w:val="22"/>
                <w:szCs w:val="22"/>
              </w:rPr>
              <w:t xml:space="preserve">Arising from un-seaworthiness of the vessel where the insured is privy to the defects at the time of loading cargo An important point to note when taking out marine insurance is that the onus is on the insured to ensure adequate packaging and marking. In the event of loss or damage to cargo attributable to inadequate packaging or marking, </w:t>
            </w:r>
            <w:r w:rsidR="000F3A6A">
              <w:rPr>
                <w:sz w:val="22"/>
                <w:szCs w:val="22"/>
              </w:rPr>
              <w:t>Alliance Africa General Insurance</w:t>
            </w:r>
            <w:r w:rsidRPr="008F1078">
              <w:rPr>
                <w:sz w:val="22"/>
                <w:szCs w:val="22"/>
              </w:rPr>
              <w:t xml:space="preserve"> </w:t>
            </w:r>
            <w:r w:rsidR="000F3A6A">
              <w:rPr>
                <w:sz w:val="22"/>
                <w:szCs w:val="22"/>
              </w:rPr>
              <w:t>Limited</w:t>
            </w:r>
            <w:r w:rsidRPr="008F1078">
              <w:rPr>
                <w:sz w:val="22"/>
                <w:szCs w:val="22"/>
              </w:rPr>
              <w:t xml:space="preserve"> will disallow any claim made.</w:t>
            </w:r>
          </w:p>
        </w:tc>
        <w:tc>
          <w:tcPr>
            <w:tcW w:w="3870" w:type="dxa"/>
          </w:tcPr>
          <w:p w:rsidR="00F87247" w:rsidRPr="008E081C" w:rsidRDefault="00F87247" w:rsidP="00011840">
            <w:pPr>
              <w:rPr>
                <w:sz w:val="22"/>
                <w:szCs w:val="22"/>
              </w:rPr>
            </w:pPr>
            <w:r w:rsidRPr="008E081C">
              <w:rPr>
                <w:sz w:val="22"/>
                <w:szCs w:val="22"/>
              </w:rPr>
              <w:t xml:space="preserve">Choose optional add-ons at an additional cost to create cover that suits you. </w:t>
            </w:r>
          </w:p>
          <w:p w:rsidR="00F87247" w:rsidRPr="008F1078" w:rsidRDefault="00F87247" w:rsidP="00F87247">
            <w:pPr>
              <w:pStyle w:val="ListParagraph"/>
              <w:numPr>
                <w:ilvl w:val="0"/>
                <w:numId w:val="6"/>
              </w:numPr>
              <w:rPr>
                <w:sz w:val="22"/>
                <w:szCs w:val="22"/>
              </w:rPr>
            </w:pPr>
            <w:r w:rsidRPr="008F1078">
              <w:rPr>
                <w:sz w:val="22"/>
                <w:szCs w:val="22"/>
              </w:rPr>
              <w:t>Political Violence and Terrorism: Cover against political violence and terrorism</w:t>
            </w:r>
          </w:p>
        </w:tc>
      </w:tr>
    </w:tbl>
    <w:p w:rsidR="00F87247" w:rsidRPr="008E081C" w:rsidRDefault="00F87247" w:rsidP="00F87247"/>
    <w:p w:rsidR="00653A39" w:rsidRPr="00F305CC" w:rsidRDefault="00653A39" w:rsidP="00F305CC"/>
    <w:sectPr w:rsidR="00653A39" w:rsidRPr="00F305CC" w:rsidSect="00E60021">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230" w:left="1152" w:header="619"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78B" w:rsidRDefault="00D5778B" w:rsidP="00893410">
      <w:r>
        <w:separator/>
      </w:r>
    </w:p>
  </w:endnote>
  <w:endnote w:type="continuationSeparator" w:id="1">
    <w:p w:rsidR="00D5778B" w:rsidRDefault="00D5778B" w:rsidP="00893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E8" w:rsidRDefault="007674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A65" w:rsidRPr="00E60021" w:rsidRDefault="00863ABE" w:rsidP="001F1A65">
    <w:pPr>
      <w:pBdr>
        <w:bottom w:val="single" w:sz="4" w:space="10" w:color="auto"/>
      </w:pBdr>
      <w:spacing w:before="100" w:beforeAutospacing="1" w:after="100" w:afterAutospacing="1"/>
      <w:contextualSpacing/>
      <w:jc w:val="center"/>
      <w:rPr>
        <w:sz w:val="16"/>
        <w:szCs w:val="16"/>
      </w:rPr>
    </w:pPr>
    <w:r w:rsidRPr="00E60021">
      <w:rPr>
        <w:b/>
        <w:bCs/>
        <w:sz w:val="16"/>
        <w:szCs w:val="16"/>
      </w:rPr>
      <w:t>Alliance Africa Insurance Limited</w:t>
    </w:r>
  </w:p>
  <w:p w:rsidR="001F1A65" w:rsidRPr="00E60021" w:rsidRDefault="00863ABE" w:rsidP="001F1A65">
    <w:pPr>
      <w:pBdr>
        <w:bottom w:val="single" w:sz="4" w:space="10" w:color="auto"/>
      </w:pBdr>
      <w:spacing w:before="100" w:beforeAutospacing="1" w:after="100" w:afterAutospacing="1"/>
      <w:contextualSpacing/>
      <w:jc w:val="center"/>
      <w:rPr>
        <w:b/>
        <w:sz w:val="16"/>
        <w:szCs w:val="16"/>
      </w:rPr>
    </w:pPr>
    <w:r w:rsidRPr="00E60021">
      <w:rPr>
        <w:b/>
        <w:sz w:val="16"/>
        <w:szCs w:val="16"/>
      </w:rPr>
      <w:t>Suite 3</w:t>
    </w:r>
    <w:r w:rsidR="00EC7A3A">
      <w:rPr>
        <w:b/>
        <w:sz w:val="16"/>
        <w:szCs w:val="16"/>
      </w:rPr>
      <w:t>A</w:t>
    </w:r>
    <w:r w:rsidRPr="00E60021">
      <w:rPr>
        <w:b/>
        <w:sz w:val="16"/>
        <w:szCs w:val="16"/>
      </w:rPr>
      <w:t xml:space="preserve">, Plot 9 </w:t>
    </w:r>
    <w:r w:rsidR="00EC7A3A">
      <w:rPr>
        <w:b/>
        <w:sz w:val="16"/>
        <w:szCs w:val="16"/>
      </w:rPr>
      <w:t>Yusuf Lule Road</w:t>
    </w:r>
    <w:r w:rsidRPr="00E60021">
      <w:rPr>
        <w:b/>
        <w:sz w:val="16"/>
        <w:szCs w:val="16"/>
      </w:rPr>
      <w:t>, P.O. Box 7308, Kampala, Uganda</w:t>
    </w:r>
  </w:p>
  <w:p w:rsidR="00AF4C9F" w:rsidRPr="00063267" w:rsidRDefault="007674E8" w:rsidP="007674E8">
    <w:pPr>
      <w:pBdr>
        <w:bottom w:val="single" w:sz="4" w:space="10" w:color="auto"/>
      </w:pBdr>
      <w:spacing w:before="100" w:beforeAutospacing="1" w:after="100" w:afterAutospacing="1"/>
      <w:contextualSpacing/>
      <w:jc w:val="center"/>
      <w:rPr>
        <w:rFonts w:ascii="Verdana" w:hAnsi="Verdana"/>
        <w:b/>
        <w:i/>
        <w:sz w:val="18"/>
        <w:szCs w:val="18"/>
      </w:rPr>
    </w:pPr>
    <w:r w:rsidRPr="00E60021">
      <w:rPr>
        <w:b/>
        <w:sz w:val="16"/>
        <w:szCs w:val="16"/>
      </w:rPr>
      <w:t xml:space="preserve">Phone: +256 </w:t>
    </w:r>
    <w:r>
      <w:rPr>
        <w:b/>
        <w:sz w:val="16"/>
        <w:szCs w:val="16"/>
      </w:rPr>
      <w:t>0392 177 281/2, 0200977281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E8" w:rsidRDefault="007674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78B" w:rsidRDefault="00D5778B" w:rsidP="00893410">
      <w:r>
        <w:separator/>
      </w:r>
    </w:p>
  </w:footnote>
  <w:footnote w:type="continuationSeparator" w:id="1">
    <w:p w:rsidR="00D5778B" w:rsidRDefault="00D5778B" w:rsidP="00893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34B" w:rsidRDefault="007F3F3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57992" o:spid="_x0000_s2050" type="#_x0000_t75" style="position:absolute;margin-left:0;margin-top:0;width:496.55pt;height:442.6pt;z-index:-251657216;mso-position-horizontal:center;mso-position-horizontal-relative:margin;mso-position-vertical:center;mso-position-vertical-relative:margin" o:allowincell="f">
          <v:imagedata r:id="rId1" o:title="AAGIL- LOGO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C9F" w:rsidRPr="00063267" w:rsidRDefault="00F305CC" w:rsidP="00F305CC">
    <w:pPr>
      <w:pStyle w:val="Header"/>
      <w:tabs>
        <w:tab w:val="left" w:pos="3990"/>
        <w:tab w:val="center" w:pos="4968"/>
      </w:tabs>
      <w:rPr>
        <w:rFonts w:ascii="Verdana" w:hAnsi="Verdana"/>
        <w:sz w:val="19"/>
        <w:szCs w:val="19"/>
      </w:rPr>
    </w:pPr>
    <w:r>
      <w:rPr>
        <w:rFonts w:ascii="Verdana" w:hAnsi="Verdana"/>
        <w:sz w:val="19"/>
        <w:szCs w:val="19"/>
      </w:rPr>
      <w:tab/>
      <w:t xml:space="preserve">                                 </w:t>
    </w:r>
    <w:r>
      <w:rPr>
        <w:rFonts w:ascii="Verdana" w:hAnsi="Verdana"/>
        <w:sz w:val="19"/>
        <w:szCs w:val="19"/>
      </w:rPr>
      <w:tab/>
    </w:r>
    <w:r w:rsidR="007F3F35">
      <w:rPr>
        <w:rFonts w:ascii="Verdana" w:hAnsi="Verdana"/>
        <w:noProof/>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57993" o:spid="_x0000_s2051" type="#_x0000_t75" style="position:absolute;margin-left:0;margin-top:0;width:496.55pt;height:442.6pt;z-index:-251656192;mso-position-horizontal:center;mso-position-horizontal-relative:margin;mso-position-vertical:center;mso-position-vertical-relative:margin" o:allowincell="f">
          <v:imagedata r:id="rId1" o:title="AAGIL- LOGO1" gain="19661f" blacklevel="22938f"/>
          <w10:wrap anchorx="margin" anchory="margin"/>
        </v:shape>
      </w:pict>
    </w:r>
    <w:r>
      <w:rPr>
        <w:rFonts w:ascii="Verdana" w:hAnsi="Verdana"/>
        <w:sz w:val="19"/>
        <w:szCs w:val="19"/>
      </w:rPr>
      <w:t xml:space="preserve">                            </w:t>
    </w:r>
    <w:r w:rsidR="0091434B">
      <w:rPr>
        <w:rFonts w:ascii="Verdana" w:hAnsi="Verdana"/>
        <w:noProof/>
        <w:sz w:val="19"/>
        <w:szCs w:val="19"/>
      </w:rPr>
      <w:drawing>
        <wp:inline distT="0" distB="0" distL="0" distR="0">
          <wp:extent cx="942975" cy="895350"/>
          <wp:effectExtent l="19050" t="0" r="9525" b="0"/>
          <wp:docPr id="1" name="Picture 0" descr="alliance-africa-general-insurance-appr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iance-africa-general-insurance-approved-logo.jpg"/>
                  <pic:cNvPicPr/>
                </pic:nvPicPr>
                <pic:blipFill>
                  <a:blip r:embed="rId2"/>
                  <a:stretch>
                    <a:fillRect/>
                  </a:stretch>
                </pic:blipFill>
                <pic:spPr>
                  <a:xfrm>
                    <a:off x="0" y="0"/>
                    <a:ext cx="943546" cy="895892"/>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34B" w:rsidRDefault="007F3F3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57991" o:spid="_x0000_s2049" type="#_x0000_t75" style="position:absolute;margin-left:0;margin-top:0;width:496.55pt;height:442.6pt;z-index:-251658240;mso-position-horizontal:center;mso-position-horizontal-relative:margin;mso-position-vertical:center;mso-position-vertical-relative:margin" o:allowincell="f">
          <v:imagedata r:id="rId1" o:title="AAGIL- LOGO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B65A1"/>
    <w:multiLevelType w:val="hybridMultilevel"/>
    <w:tmpl w:val="9842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CF2CB5"/>
    <w:multiLevelType w:val="hybridMultilevel"/>
    <w:tmpl w:val="0074D59A"/>
    <w:lvl w:ilvl="0" w:tplc="463E3702">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7E3C67"/>
    <w:multiLevelType w:val="hybridMultilevel"/>
    <w:tmpl w:val="0E8A2C9C"/>
    <w:lvl w:ilvl="0" w:tplc="463E3702">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0D6ECE"/>
    <w:multiLevelType w:val="hybridMultilevel"/>
    <w:tmpl w:val="3BE40D42"/>
    <w:lvl w:ilvl="0" w:tplc="463E3702">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B15363"/>
    <w:multiLevelType w:val="multilevel"/>
    <w:tmpl w:val="9C76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6548E7"/>
    <w:multiLevelType w:val="hybridMultilevel"/>
    <w:tmpl w:val="794E2EA4"/>
    <w:lvl w:ilvl="0" w:tplc="463E3702">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0"/>
  <w:defaultTabStop w:val="720"/>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665B89"/>
    <w:rsid w:val="000072B7"/>
    <w:rsid w:val="000379D4"/>
    <w:rsid w:val="00087974"/>
    <w:rsid w:val="000F3A6A"/>
    <w:rsid w:val="00216436"/>
    <w:rsid w:val="00221FD8"/>
    <w:rsid w:val="0026608E"/>
    <w:rsid w:val="002858D2"/>
    <w:rsid w:val="002E4CB4"/>
    <w:rsid w:val="00416783"/>
    <w:rsid w:val="004235B0"/>
    <w:rsid w:val="0043189A"/>
    <w:rsid w:val="004B35B8"/>
    <w:rsid w:val="004D7F8A"/>
    <w:rsid w:val="005208F8"/>
    <w:rsid w:val="005C662D"/>
    <w:rsid w:val="00653A39"/>
    <w:rsid w:val="00665B89"/>
    <w:rsid w:val="006C1ACD"/>
    <w:rsid w:val="0074310F"/>
    <w:rsid w:val="00765E28"/>
    <w:rsid w:val="007674E8"/>
    <w:rsid w:val="007A097D"/>
    <w:rsid w:val="007F3F35"/>
    <w:rsid w:val="007F73A7"/>
    <w:rsid w:val="008404CD"/>
    <w:rsid w:val="00863ABE"/>
    <w:rsid w:val="00874D6C"/>
    <w:rsid w:val="00893410"/>
    <w:rsid w:val="008E54CE"/>
    <w:rsid w:val="009034FC"/>
    <w:rsid w:val="0091434B"/>
    <w:rsid w:val="009A37E3"/>
    <w:rsid w:val="009B4E31"/>
    <w:rsid w:val="00AA5AEA"/>
    <w:rsid w:val="00AE0751"/>
    <w:rsid w:val="00B2658D"/>
    <w:rsid w:val="00B67DC4"/>
    <w:rsid w:val="00BA6DC7"/>
    <w:rsid w:val="00BA780A"/>
    <w:rsid w:val="00C25126"/>
    <w:rsid w:val="00C675EE"/>
    <w:rsid w:val="00D1722D"/>
    <w:rsid w:val="00D21136"/>
    <w:rsid w:val="00D35712"/>
    <w:rsid w:val="00D5778B"/>
    <w:rsid w:val="00D82A2D"/>
    <w:rsid w:val="00EC7A3A"/>
    <w:rsid w:val="00ED3C99"/>
    <w:rsid w:val="00F305CC"/>
    <w:rsid w:val="00F3112F"/>
    <w:rsid w:val="00F424B7"/>
    <w:rsid w:val="00F733EB"/>
    <w:rsid w:val="00F87247"/>
    <w:rsid w:val="00FD2B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89"/>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665B89"/>
    <w:pPr>
      <w:keepNext/>
      <w:outlineLvl w:val="5"/>
    </w:pPr>
    <w:rPr>
      <w:rFonts w:ascii="Arial" w:hAnsi="Arial" w:cs="Arial"/>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65B89"/>
    <w:rPr>
      <w:rFonts w:ascii="Arial" w:eastAsia="Times New Roman" w:hAnsi="Arial" w:cs="Arial"/>
      <w:b/>
      <w:bCs/>
      <w:i/>
      <w:iCs/>
      <w:sz w:val="20"/>
      <w:szCs w:val="24"/>
    </w:rPr>
  </w:style>
  <w:style w:type="paragraph" w:styleId="Header">
    <w:name w:val="header"/>
    <w:basedOn w:val="Normal"/>
    <w:link w:val="HeaderChar"/>
    <w:rsid w:val="00665B89"/>
    <w:pPr>
      <w:tabs>
        <w:tab w:val="center" w:pos="4320"/>
        <w:tab w:val="right" w:pos="8640"/>
      </w:tabs>
    </w:pPr>
  </w:style>
  <w:style w:type="character" w:customStyle="1" w:styleId="HeaderChar">
    <w:name w:val="Header Char"/>
    <w:basedOn w:val="DefaultParagraphFont"/>
    <w:link w:val="Header"/>
    <w:rsid w:val="00665B89"/>
    <w:rPr>
      <w:rFonts w:ascii="Times New Roman" w:eastAsia="Times New Roman" w:hAnsi="Times New Roman" w:cs="Times New Roman"/>
      <w:sz w:val="24"/>
      <w:szCs w:val="24"/>
    </w:rPr>
  </w:style>
  <w:style w:type="paragraph" w:styleId="Footer">
    <w:name w:val="footer"/>
    <w:basedOn w:val="Normal"/>
    <w:link w:val="FooterChar"/>
    <w:rsid w:val="00665B89"/>
    <w:pPr>
      <w:tabs>
        <w:tab w:val="center" w:pos="4320"/>
        <w:tab w:val="right" w:pos="8640"/>
      </w:tabs>
    </w:pPr>
  </w:style>
  <w:style w:type="character" w:customStyle="1" w:styleId="FooterChar">
    <w:name w:val="Footer Char"/>
    <w:basedOn w:val="DefaultParagraphFont"/>
    <w:link w:val="Footer"/>
    <w:rsid w:val="00665B89"/>
    <w:rPr>
      <w:rFonts w:ascii="Times New Roman" w:eastAsia="Times New Roman" w:hAnsi="Times New Roman" w:cs="Times New Roman"/>
      <w:sz w:val="24"/>
      <w:szCs w:val="24"/>
    </w:rPr>
  </w:style>
  <w:style w:type="table" w:styleId="TableGrid">
    <w:name w:val="Table Grid"/>
    <w:basedOn w:val="TableNormal"/>
    <w:uiPriority w:val="59"/>
    <w:rsid w:val="00665B89"/>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2B5E"/>
    <w:pPr>
      <w:ind w:left="720"/>
      <w:contextualSpacing/>
    </w:pPr>
  </w:style>
  <w:style w:type="paragraph" w:styleId="BalloonText">
    <w:name w:val="Balloon Text"/>
    <w:basedOn w:val="Normal"/>
    <w:link w:val="BalloonTextChar"/>
    <w:uiPriority w:val="99"/>
    <w:semiHidden/>
    <w:unhideWhenUsed/>
    <w:rsid w:val="0091434B"/>
    <w:rPr>
      <w:rFonts w:ascii="Tahoma" w:hAnsi="Tahoma" w:cs="Tahoma"/>
      <w:sz w:val="16"/>
      <w:szCs w:val="16"/>
    </w:rPr>
  </w:style>
  <w:style w:type="character" w:customStyle="1" w:styleId="BalloonTextChar">
    <w:name w:val="Balloon Text Char"/>
    <w:basedOn w:val="DefaultParagraphFont"/>
    <w:link w:val="BalloonText"/>
    <w:uiPriority w:val="99"/>
    <w:semiHidden/>
    <w:rsid w:val="0091434B"/>
    <w:rPr>
      <w:rFonts w:ascii="Tahoma" w:eastAsia="Times New Roman" w:hAnsi="Tahoma" w:cs="Tahoma"/>
      <w:sz w:val="16"/>
      <w:szCs w:val="16"/>
    </w:rPr>
  </w:style>
  <w:style w:type="character" w:customStyle="1" w:styleId="codhd">
    <w:name w:val="cod_hd"/>
    <w:basedOn w:val="DefaultParagraphFont"/>
    <w:rsid w:val="00F872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DB093-7AA9-4C7C-9CEC-8CF54663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RESTY MBABAZI</cp:lastModifiedBy>
  <cp:revision>5</cp:revision>
  <cp:lastPrinted>2020-01-22T18:51:00Z</cp:lastPrinted>
  <dcterms:created xsi:type="dcterms:W3CDTF">2021-04-03T10:40:00Z</dcterms:created>
  <dcterms:modified xsi:type="dcterms:W3CDTF">2021-04-10T08:42:00Z</dcterms:modified>
</cp:coreProperties>
</file>